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Yönetici Şikayeti ve Hakimin Müdahalesi Talep Dilekçesi</w:t>
      </w:r>
    </w:p>
    <w:p>
      <w:pPr>
        <w:spacing w:after="80"/>
      </w:pPr>
      <w:r>
        <w:rPr/>
        <w:t xml:space="preserve">……………… NÖBETÇİ SULH HUKUK MAHKEMESİNE</w:t>
      </w:r>
    </w:p>
    <w:p/>
    <w:p>
      <w:pPr>
        <w:spacing w:after="80"/>
      </w:pPr>
      <w:r>
        <w:rPr/>
        <w:t xml:space="preserve">DAVACI: Ad Soyad, T.C. Kimlik No, ……………… Apartmanı/Sitesi, Daire No, Adres</w:t>
      </w:r>
    </w:p>
    <w:p/>
    <w:p>
      <w:pPr>
        <w:spacing w:after="80"/>
      </w:pPr>
      <w:r>
        <w:rPr/>
        <w:t xml:space="preserve">DAVALI: ……………… Apartmanı/Sitesi Yöneticisi Ad Soyad (veya ilgili kat maliki), Adres</w:t>
      </w:r>
    </w:p>
    <w:p/>
    <w:p>
      <w:pPr>
        <w:spacing w:after="80"/>
      </w:pPr>
      <w:r>
        <w:rPr/>
        <w:t xml:space="preserve">KONU: Kat Mülkiyeti Kanunu m.33 uyarınca hakimin müdahalesi ve aykırılığın giderilmesi talebidir.</w:t>
      </w:r>
    </w:p>
    <w:p/>
    <w:p>
      <w:pPr>
        <w:spacing w:after="80"/>
      </w:pPr>
      <w:r>
        <w:rPr/>
        <w:t xml:space="preserve">AÇIKLAMALAR:</w:t>
      </w:r>
    </w:p>
    <w:p/>
    <w:p>
      <w:pPr>
        <w:spacing w:after="80"/>
      </w:pPr>
      <w:r>
        <w:rPr/>
        <w:t xml:space="preserve">1. ……………… Apartmanı/Sitesinde …… numaralı bağımsız bölümün malikiyim.</w:t>
      </w:r>
    </w:p>
    <w:p/>
    <w:p>
      <w:pPr>
        <w:spacing w:after="80"/>
      </w:pPr>
      <w:r>
        <w:rPr/>
        <w:t xml:space="preserve">2. Davalı ……………… (yönetici olarak dönem hesabını sunmamakta / zorunlu onarımı yapmamakta / ortak alanı işgal etmekte / ortak yaşamı çekilmez kılan eylemi sürdürmekte)dir.</w:t>
      </w:r>
    </w:p>
    <w:p/>
    <w:p>
      <w:pPr>
        <w:spacing w:after="80"/>
      </w:pPr>
      <w:r>
        <w:rPr/>
        <w:t xml:space="preserve">3. Bu konuda …/…/20… tarihli ihtarname ile yazılı uyarıda bulunmama rağmen aykırılık giderilmemiştir (EK-1).</w:t>
      </w:r>
    </w:p>
    <w:p/>
    <w:p>
      <w:pPr>
        <w:spacing w:after="80"/>
      </w:pPr>
      <w:r>
        <w:rPr/>
        <w:t xml:space="preserve">4. Kat Mülkiyeti Kanunu m.33 uyarınca, söz konusu aykırılığın giderilmesi için hakimin müdahalesini talep etme zorunluluğu doğmuştur.</w:t>
      </w:r>
    </w:p>
    <w:p/>
    <w:p>
      <w:pPr>
        <w:spacing w:after="80"/>
      </w:pPr>
      <w:r>
        <w:rPr/>
        <w:t xml:space="preserve">HUKUKİ SEBEPLER: 634 sayılı Kat Mülkiyeti Kanunu, HMK ve ilgili mevzuat.</w:t>
      </w:r>
    </w:p>
    <w:p/>
    <w:p>
      <w:pPr>
        <w:spacing w:after="80"/>
      </w:pPr>
      <w:r>
        <w:rPr/>
        <w:t xml:space="preserve">DELİLLER: İhtarname, kat malikleri kurulu kararları, yönetim planı, tanık ve sair deliller.</w:t>
      </w:r>
    </w:p>
    <w:p/>
    <w:p>
      <w:pPr>
        <w:spacing w:after="80"/>
      </w:pPr>
      <w:r>
        <w:rPr/>
        <w:t xml:space="preserve">SONUÇ ve TALEP: Yukarıda açıklanan nedenlerle, davalının ……………… (belirtilen aykırılığı/ihmali) gidermesine ve gerekli tedbirlerin alınmasına, yargılama giderlerinin davalıya yükletilmesine karar verilmesini saygıyla talep ederim. …/…/20…</w:t>
      </w:r>
    </w:p>
    <w:p/>
    <w:p>
      <w:pPr>
        <w:spacing w:after="80"/>
      </w:pPr>
      <w:r>
        <w:rPr/>
        <w:t xml:space="preserve">Davacı</w:t>
      </w:r>
    </w:p>
    <w:p>
      <w:pPr>
        <w:spacing w:after="80"/>
      </w:pPr>
      <w:r>
        <w:rPr/>
        <w:t xml:space="preserve">Ad Soyad – İmza</w:t>
      </w:r>
    </w:p>
    <w:p/>
    <w:p>
      <w:pPr>
        <w:spacing w:after="80"/>
      </w:pPr>
      <w:r>
        <w:rPr/>
        <w:t xml:space="preserve">EK-1: …/…/20… tarihli ihtarname ve tebliğ belgesi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2026-07-18T02:34:32+03:00</dcterms:created>
  <dcterms:modified xsi:type="dcterms:W3CDTF">2026-07-18T02:34:32+03:00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